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7B5" w:rsidRDefault="00945165" w:rsidP="00003594">
      <w:pPr>
        <w:pStyle w:val="2"/>
        <w:keepNext w:val="0"/>
        <w:keepLines w:val="0"/>
        <w:numPr>
          <w:ilvl w:val="0"/>
          <w:numId w:val="0"/>
        </w:numPr>
        <w:spacing w:line="560" w:lineRule="exact"/>
        <w:ind w:leftChars="202" w:left="566" w:firstLineChars="49" w:firstLine="157"/>
        <w:rPr>
          <w:sz w:val="32"/>
        </w:rPr>
      </w:pPr>
      <w:bookmarkStart w:id="0" w:name="_Toc27404"/>
      <w:bookmarkStart w:id="1" w:name="_Toc18778"/>
      <w:bookmarkStart w:id="2" w:name="_Toc8379"/>
      <w:bookmarkStart w:id="3" w:name="_Toc7186"/>
      <w:bookmarkStart w:id="4" w:name="_Toc9689"/>
      <w:bookmarkStart w:id="5" w:name="_Toc13437"/>
      <w:bookmarkStart w:id="6" w:name="_Toc19130"/>
      <w:bookmarkStart w:id="7" w:name="_Toc54106735"/>
      <w:bookmarkStart w:id="8" w:name="_Toc28323"/>
      <w:bookmarkStart w:id="9" w:name="_Toc9080"/>
      <w:bookmarkStart w:id="10" w:name="_Toc18137"/>
      <w:bookmarkStart w:id="11" w:name="_Toc61603915"/>
      <w:bookmarkStart w:id="12" w:name="_Hlk39923492"/>
      <w:r>
        <w:rPr>
          <w:rFonts w:ascii="楷体" w:eastAsia="楷体" w:hAnsi="楷体" w:cs="楷体" w:hint="eastAsia"/>
          <w:sz w:val="32"/>
        </w:rPr>
        <w:t>一、</w:t>
      </w:r>
      <w:r w:rsidR="00BB1C78">
        <w:rPr>
          <w:rFonts w:ascii="楷体" w:eastAsia="楷体" w:hAnsi="楷体" w:cs="楷体" w:hint="eastAsia"/>
          <w:sz w:val="32"/>
        </w:rPr>
        <w:t>特发集团企业文化</w:t>
      </w:r>
      <w:r>
        <w:rPr>
          <w:rFonts w:ascii="楷体" w:eastAsia="楷体" w:hAnsi="楷体" w:cs="楷体" w:hint="eastAsia"/>
          <w:sz w:val="32"/>
        </w:rPr>
        <w:t>核心</w:t>
      </w:r>
      <w:r w:rsidR="00BB1C78">
        <w:rPr>
          <w:rFonts w:ascii="楷体" w:eastAsia="楷体" w:hAnsi="楷体" w:cs="楷体" w:hint="eastAsia"/>
          <w:sz w:val="32"/>
        </w:rPr>
        <w:t>理念体系</w:t>
      </w:r>
      <w:bookmarkEnd w:id="0"/>
      <w:bookmarkEnd w:id="1"/>
      <w:bookmarkEnd w:id="2"/>
      <w:bookmarkEnd w:id="3"/>
      <w:bookmarkEnd w:id="4"/>
      <w:bookmarkEnd w:id="5"/>
      <w:bookmarkEnd w:id="6"/>
      <w:bookmarkEnd w:id="7"/>
      <w:bookmarkEnd w:id="8"/>
      <w:bookmarkEnd w:id="9"/>
      <w:bookmarkEnd w:id="10"/>
      <w:bookmarkEnd w:id="11"/>
    </w:p>
    <w:bookmarkEnd w:id="12"/>
    <w:p w:rsidR="006A17B5" w:rsidRDefault="00BB1C78" w:rsidP="00945165">
      <w:pPr>
        <w:spacing w:line="560" w:lineRule="exact"/>
        <w:ind w:firstLine="640"/>
        <w:jc w:val="both"/>
        <w:rPr>
          <w:rFonts w:ascii="仿宋" w:eastAsia="仿宋" w:hAnsi="仿宋"/>
          <w:sz w:val="32"/>
          <w:szCs w:val="32"/>
        </w:rPr>
      </w:pPr>
      <w:r>
        <w:rPr>
          <w:rFonts w:ascii="仿宋" w:eastAsia="仿宋" w:hAnsi="仿宋" w:hint="eastAsia"/>
          <w:sz w:val="32"/>
          <w:szCs w:val="32"/>
        </w:rPr>
        <w:t>使命：匠心智造、逐梦未来</w:t>
      </w:r>
    </w:p>
    <w:p w:rsidR="006A17B5" w:rsidRDefault="00BB1C78" w:rsidP="00945165">
      <w:pPr>
        <w:spacing w:line="560" w:lineRule="exact"/>
        <w:ind w:firstLine="640"/>
        <w:jc w:val="both"/>
        <w:rPr>
          <w:rFonts w:ascii="仿宋" w:eastAsia="仿宋" w:hAnsi="仿宋"/>
          <w:sz w:val="32"/>
          <w:szCs w:val="32"/>
        </w:rPr>
      </w:pPr>
      <w:r>
        <w:rPr>
          <w:rFonts w:ascii="仿宋" w:eastAsia="仿宋" w:hAnsi="仿宋" w:hint="eastAsia"/>
          <w:sz w:val="32"/>
          <w:szCs w:val="32"/>
        </w:rPr>
        <w:t>愿景：信息尖兵、湾区名片</w:t>
      </w:r>
    </w:p>
    <w:p w:rsidR="006A17B5" w:rsidRDefault="00BB1C78" w:rsidP="00945165">
      <w:pPr>
        <w:spacing w:line="560" w:lineRule="exact"/>
        <w:ind w:firstLine="640"/>
        <w:jc w:val="both"/>
        <w:rPr>
          <w:rFonts w:ascii="仿宋" w:eastAsia="仿宋" w:hAnsi="仿宋"/>
          <w:sz w:val="32"/>
          <w:szCs w:val="32"/>
        </w:rPr>
      </w:pPr>
      <w:r>
        <w:rPr>
          <w:rFonts w:ascii="仿宋" w:eastAsia="仿宋" w:hAnsi="仿宋" w:hint="eastAsia"/>
          <w:sz w:val="32"/>
          <w:szCs w:val="32"/>
        </w:rPr>
        <w:t>价值观：共济</w:t>
      </w:r>
      <w:r>
        <w:rPr>
          <w:rFonts w:ascii="仿宋" w:eastAsia="仿宋" w:hAnsi="仿宋"/>
          <w:sz w:val="32"/>
          <w:szCs w:val="32"/>
        </w:rPr>
        <w:t xml:space="preserve"> 共创 共享</w:t>
      </w:r>
    </w:p>
    <w:p w:rsidR="006A17B5" w:rsidRDefault="00BB1C78" w:rsidP="00945165">
      <w:pPr>
        <w:spacing w:line="560" w:lineRule="exact"/>
        <w:ind w:rightChars="-324" w:right="-907" w:firstLine="640"/>
        <w:jc w:val="both"/>
        <w:rPr>
          <w:rFonts w:ascii="仿宋" w:eastAsia="仿宋" w:hAnsi="仿宋"/>
          <w:sz w:val="32"/>
          <w:szCs w:val="32"/>
        </w:rPr>
      </w:pPr>
      <w:r>
        <w:rPr>
          <w:rFonts w:ascii="仿宋" w:eastAsia="仿宋" w:hAnsi="仿宋" w:hint="eastAsia"/>
          <w:sz w:val="32"/>
          <w:szCs w:val="32"/>
        </w:rPr>
        <w:t>企业精神：“特发”精神——不忘初心</w:t>
      </w:r>
      <w:r>
        <w:rPr>
          <w:rFonts w:ascii="仿宋" w:eastAsia="仿宋" w:hAnsi="仿宋"/>
          <w:sz w:val="32"/>
          <w:szCs w:val="32"/>
        </w:rPr>
        <w:t xml:space="preserve"> 开拓进取 永不言胜</w:t>
      </w:r>
    </w:p>
    <w:p w:rsidR="006A17B5" w:rsidRDefault="00BB1C78" w:rsidP="00945165">
      <w:pPr>
        <w:spacing w:line="560" w:lineRule="exact"/>
        <w:ind w:firstLine="640"/>
        <w:jc w:val="both"/>
        <w:rPr>
          <w:rFonts w:ascii="仿宋" w:eastAsia="仿宋" w:hAnsi="仿宋"/>
          <w:sz w:val="32"/>
          <w:szCs w:val="32"/>
        </w:rPr>
      </w:pPr>
      <w:r>
        <w:rPr>
          <w:rFonts w:ascii="仿宋" w:eastAsia="仿宋" w:hAnsi="仿宋" w:hint="eastAsia"/>
          <w:sz w:val="32"/>
          <w:szCs w:val="32"/>
        </w:rPr>
        <w:t>“职业”文化：全员职业化，成就美好生活</w:t>
      </w:r>
    </w:p>
    <w:p w:rsidR="006A17B5" w:rsidRDefault="00945165" w:rsidP="00003594">
      <w:pPr>
        <w:pStyle w:val="2"/>
        <w:keepNext w:val="0"/>
        <w:keepLines w:val="0"/>
        <w:numPr>
          <w:ilvl w:val="0"/>
          <w:numId w:val="0"/>
        </w:numPr>
        <w:spacing w:line="560" w:lineRule="exact"/>
        <w:ind w:leftChars="122" w:left="342" w:firstLineChars="119" w:firstLine="382"/>
        <w:jc w:val="both"/>
        <w:rPr>
          <w:sz w:val="32"/>
        </w:rPr>
      </w:pPr>
      <w:bookmarkStart w:id="13" w:name="_Toc30817"/>
      <w:bookmarkStart w:id="14" w:name="_Toc6829"/>
      <w:bookmarkStart w:id="15" w:name="_Toc61603916"/>
      <w:bookmarkStart w:id="16" w:name="_Toc5774"/>
      <w:bookmarkStart w:id="17" w:name="_Toc10476"/>
      <w:bookmarkStart w:id="18" w:name="_Toc28070"/>
      <w:bookmarkStart w:id="19" w:name="_Toc54106736"/>
      <w:bookmarkStart w:id="20" w:name="_Toc10086"/>
      <w:bookmarkStart w:id="21" w:name="_Toc24383"/>
      <w:bookmarkStart w:id="22" w:name="_Toc8562"/>
      <w:bookmarkStart w:id="23" w:name="_Toc22089"/>
      <w:bookmarkStart w:id="24" w:name="_Toc15874"/>
      <w:r>
        <w:rPr>
          <w:rFonts w:ascii="楷体" w:eastAsia="楷体" w:hAnsi="楷体" w:cs="楷体" w:hint="eastAsia"/>
          <w:sz w:val="32"/>
        </w:rPr>
        <w:t>二、十四五期间</w:t>
      </w:r>
      <w:r w:rsidR="00BB1C78">
        <w:rPr>
          <w:rFonts w:ascii="楷体" w:eastAsia="楷体" w:hAnsi="楷体" w:cs="楷体" w:hint="eastAsia"/>
          <w:sz w:val="32"/>
        </w:rPr>
        <w:t>集团发展定位</w:t>
      </w:r>
      <w:bookmarkEnd w:id="13"/>
      <w:bookmarkEnd w:id="14"/>
      <w:bookmarkEnd w:id="15"/>
      <w:bookmarkEnd w:id="16"/>
      <w:bookmarkEnd w:id="17"/>
      <w:bookmarkEnd w:id="18"/>
      <w:bookmarkEnd w:id="19"/>
      <w:bookmarkEnd w:id="20"/>
      <w:bookmarkEnd w:id="21"/>
      <w:bookmarkEnd w:id="22"/>
      <w:bookmarkEnd w:id="23"/>
      <w:bookmarkEnd w:id="24"/>
    </w:p>
    <w:p w:rsidR="006A17B5" w:rsidRDefault="00BB1C78" w:rsidP="00003594">
      <w:pPr>
        <w:spacing w:line="560" w:lineRule="exact"/>
        <w:ind w:firstLineChars="225" w:firstLine="720"/>
        <w:jc w:val="both"/>
        <w:rPr>
          <w:rFonts w:ascii="仿宋" w:eastAsia="仿宋" w:hAnsi="仿宋"/>
          <w:sz w:val="32"/>
          <w:szCs w:val="32"/>
        </w:rPr>
      </w:pPr>
      <w:r>
        <w:rPr>
          <w:rFonts w:ascii="仿宋" w:eastAsia="仿宋" w:hAnsi="仿宋" w:hint="eastAsia"/>
          <w:sz w:val="32"/>
          <w:szCs w:val="32"/>
        </w:rPr>
        <w:t>依托优质的城市核心资源和上市公司资源，聚焦信息科技产业国产化与湾区城市空间升级运营两个领域，成为</w:t>
      </w:r>
      <w:r>
        <w:rPr>
          <w:rFonts w:ascii="仿宋" w:eastAsia="仿宋" w:hAnsi="仿宋" w:hint="eastAsia"/>
          <w:b/>
          <w:bCs/>
          <w:sz w:val="32"/>
          <w:szCs w:val="32"/>
        </w:rPr>
        <w:t>“战略性新兴产业发展与城市空间升级核心骨干”</w:t>
      </w:r>
      <w:r>
        <w:rPr>
          <w:rFonts w:ascii="仿宋" w:eastAsia="仿宋" w:hAnsi="仿宋" w:hint="eastAsia"/>
          <w:sz w:val="32"/>
          <w:szCs w:val="32"/>
        </w:rPr>
        <w:t>，争当</w:t>
      </w:r>
      <w:r>
        <w:rPr>
          <w:rFonts w:ascii="仿宋" w:eastAsia="仿宋" w:hAnsi="仿宋" w:hint="eastAsia"/>
          <w:b/>
          <w:bCs/>
          <w:sz w:val="32"/>
          <w:szCs w:val="32"/>
        </w:rPr>
        <w:t>“现代企业制度建设标杆”</w:t>
      </w:r>
      <w:r>
        <w:rPr>
          <w:rFonts w:ascii="仿宋" w:eastAsia="仿宋" w:hAnsi="仿宋" w:hint="eastAsia"/>
          <w:sz w:val="32"/>
          <w:szCs w:val="32"/>
        </w:rPr>
        <w:t>，打造</w:t>
      </w:r>
      <w:r>
        <w:rPr>
          <w:rFonts w:ascii="仿宋" w:eastAsia="仿宋" w:hAnsi="仿宋" w:hint="eastAsia"/>
          <w:b/>
          <w:bCs/>
          <w:sz w:val="32"/>
          <w:szCs w:val="32"/>
        </w:rPr>
        <w:t>“双千亿”产业集团</w:t>
      </w:r>
      <w:r>
        <w:rPr>
          <w:rFonts w:ascii="仿宋" w:eastAsia="仿宋" w:hAnsi="仿宋" w:hint="eastAsia"/>
          <w:sz w:val="32"/>
          <w:szCs w:val="32"/>
        </w:rPr>
        <w:t>，服务美好生活。</w:t>
      </w:r>
    </w:p>
    <w:p w:rsidR="006A17B5" w:rsidRDefault="00945165" w:rsidP="00003594">
      <w:pPr>
        <w:spacing w:line="560" w:lineRule="exact"/>
        <w:ind w:firstLineChars="250" w:firstLine="700"/>
        <w:jc w:val="both"/>
        <w:rPr>
          <w:rFonts w:ascii="仿宋" w:eastAsia="仿宋" w:hAnsi="仿宋"/>
          <w:sz w:val="32"/>
          <w:szCs w:val="32"/>
        </w:rPr>
      </w:pPr>
      <w:r>
        <w:rPr>
          <w:noProof/>
        </w:rPr>
        <w:drawing>
          <wp:anchor distT="0" distB="0" distL="114300" distR="114300" simplePos="0" relativeHeight="251658240" behindDoc="0" locked="0" layoutInCell="1" allowOverlap="1" wp14:anchorId="0E6755C9" wp14:editId="2D52B3DF">
            <wp:simplePos x="0" y="0"/>
            <wp:positionH relativeFrom="column">
              <wp:posOffset>-48260</wp:posOffset>
            </wp:positionH>
            <wp:positionV relativeFrom="paragraph">
              <wp:posOffset>1141095</wp:posOffset>
            </wp:positionV>
            <wp:extent cx="5273675" cy="2307590"/>
            <wp:effectExtent l="0" t="0" r="3175"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5273675" cy="2307590"/>
                    </a:xfrm>
                    <a:prstGeom prst="rect">
                      <a:avLst/>
                    </a:prstGeom>
                    <a:noFill/>
                    <a:ln>
                      <a:noFill/>
                    </a:ln>
                  </pic:spPr>
                </pic:pic>
              </a:graphicData>
            </a:graphic>
            <wp14:sizeRelH relativeFrom="page">
              <wp14:pctWidth>0</wp14:pctWidth>
            </wp14:sizeRelH>
            <wp14:sizeRelV relativeFrom="page">
              <wp14:pctHeight>0</wp14:pctHeight>
            </wp14:sizeRelV>
          </wp:anchor>
        </w:drawing>
      </w:r>
      <w:r w:rsidR="00BB1C78">
        <w:rPr>
          <w:rFonts w:ascii="仿宋" w:eastAsia="仿宋" w:hAnsi="仿宋" w:hint="eastAsia"/>
          <w:sz w:val="32"/>
          <w:szCs w:val="32"/>
        </w:rPr>
        <w:t>经过历史的积累与持续的努力，特发集团业务形成两个相对独立却又相互支撑的业务板块，即战略性新兴产业与城市空间升级产业。</w:t>
      </w:r>
    </w:p>
    <w:p w:rsidR="006A17B5" w:rsidRDefault="00BB1C78" w:rsidP="00945165">
      <w:pPr>
        <w:spacing w:line="560" w:lineRule="exact"/>
        <w:ind w:firstLineChars="850" w:firstLine="2380"/>
        <w:jc w:val="both"/>
      </w:pPr>
      <w:r>
        <w:t>图</w:t>
      </w:r>
      <w:r>
        <w:rPr>
          <w:rFonts w:hint="eastAsia"/>
        </w:rPr>
        <w:t>2</w:t>
      </w:r>
      <w:r>
        <w:rPr>
          <w:rFonts w:hint="eastAsia"/>
        </w:rPr>
        <w:t>：</w:t>
      </w:r>
      <w:r>
        <w:t>特发集团</w:t>
      </w:r>
      <w:r>
        <w:rPr>
          <w:rFonts w:hint="eastAsia"/>
        </w:rPr>
        <w:t>战略布局</w:t>
      </w:r>
    </w:p>
    <w:p w:rsidR="006A17B5" w:rsidRDefault="00BB1C78" w:rsidP="00945165">
      <w:pPr>
        <w:spacing w:line="560" w:lineRule="exact"/>
        <w:ind w:firstLine="640"/>
        <w:jc w:val="both"/>
        <w:rPr>
          <w:rFonts w:ascii="仿宋" w:eastAsia="仿宋" w:hAnsi="仿宋"/>
          <w:sz w:val="32"/>
          <w:szCs w:val="32"/>
        </w:rPr>
      </w:pPr>
      <w:r>
        <w:rPr>
          <w:rFonts w:ascii="仿宋" w:eastAsia="仿宋" w:hAnsi="仿宋" w:hint="eastAsia"/>
          <w:sz w:val="32"/>
          <w:szCs w:val="32"/>
        </w:rPr>
        <w:t>“城市空间升级建设运营商”：涵盖小梅沙旅游、小梅沙投资、香蜜湖、特力、小贷、特发服务、特发地产等二级企业，聚焦于湾区城市空间升级，打造湾区运营平台，构建</w:t>
      </w:r>
      <w:r>
        <w:rPr>
          <w:rFonts w:ascii="仿宋" w:eastAsia="仿宋" w:hAnsi="仿宋" w:hint="eastAsia"/>
          <w:sz w:val="32"/>
          <w:szCs w:val="32"/>
        </w:rPr>
        <w:lastRenderedPageBreak/>
        <w:t>基于资源运营的战略体系。其中小梅沙</w:t>
      </w:r>
      <w:r>
        <w:rPr>
          <w:rFonts w:ascii="仿宋" w:eastAsia="仿宋" w:hAnsi="仿宋"/>
          <w:sz w:val="32"/>
          <w:szCs w:val="32"/>
        </w:rPr>
        <w:t>定位</w:t>
      </w:r>
      <w:proofErr w:type="gramStart"/>
      <w:r>
        <w:rPr>
          <w:rFonts w:ascii="仿宋" w:eastAsia="仿宋" w:hAnsi="仿宋" w:hint="eastAsia"/>
          <w:sz w:val="32"/>
          <w:szCs w:val="32"/>
        </w:rPr>
        <w:t>文旅消费</w:t>
      </w:r>
      <w:proofErr w:type="gramEnd"/>
      <w:r>
        <w:rPr>
          <w:rFonts w:ascii="仿宋" w:eastAsia="仿宋" w:hAnsi="仿宋" w:hint="eastAsia"/>
          <w:sz w:val="32"/>
          <w:szCs w:val="32"/>
        </w:rPr>
        <w:t>升级</w:t>
      </w:r>
      <w:r>
        <w:rPr>
          <w:rFonts w:ascii="仿宋" w:eastAsia="仿宋" w:hAnsi="仿宋"/>
          <w:sz w:val="32"/>
          <w:szCs w:val="32"/>
        </w:rPr>
        <w:t>；</w:t>
      </w:r>
      <w:r>
        <w:rPr>
          <w:rFonts w:ascii="仿宋" w:eastAsia="仿宋" w:hAnsi="仿宋" w:hint="eastAsia"/>
          <w:sz w:val="32"/>
          <w:szCs w:val="32"/>
        </w:rPr>
        <w:t>香蜜湖</w:t>
      </w:r>
      <w:r>
        <w:rPr>
          <w:rFonts w:ascii="仿宋" w:eastAsia="仿宋" w:hAnsi="仿宋"/>
          <w:sz w:val="32"/>
          <w:szCs w:val="32"/>
        </w:rPr>
        <w:t>定位</w:t>
      </w:r>
      <w:r>
        <w:rPr>
          <w:rFonts w:ascii="仿宋" w:eastAsia="仿宋" w:hAnsi="仿宋" w:hint="eastAsia"/>
          <w:sz w:val="32"/>
          <w:szCs w:val="32"/>
        </w:rPr>
        <w:t>城市核心区消费升级</w:t>
      </w:r>
      <w:r>
        <w:rPr>
          <w:rFonts w:ascii="仿宋" w:eastAsia="仿宋" w:hAnsi="仿宋"/>
          <w:sz w:val="32"/>
          <w:szCs w:val="32"/>
        </w:rPr>
        <w:t>；</w:t>
      </w:r>
      <w:r>
        <w:rPr>
          <w:rFonts w:ascii="仿宋" w:eastAsia="仿宋" w:hAnsi="仿宋" w:hint="eastAsia"/>
          <w:sz w:val="32"/>
          <w:szCs w:val="32"/>
        </w:rPr>
        <w:t>特力</w:t>
      </w:r>
      <w:r>
        <w:rPr>
          <w:rFonts w:ascii="仿宋" w:eastAsia="仿宋" w:hAnsi="仿宋"/>
          <w:sz w:val="32"/>
          <w:szCs w:val="32"/>
        </w:rPr>
        <w:t>定位</w:t>
      </w:r>
      <w:r>
        <w:rPr>
          <w:rFonts w:ascii="仿宋" w:eastAsia="仿宋" w:hAnsi="仿宋" w:hint="eastAsia"/>
          <w:sz w:val="32"/>
          <w:szCs w:val="32"/>
        </w:rPr>
        <w:t>城市商业消费升级</w:t>
      </w:r>
      <w:r>
        <w:rPr>
          <w:rFonts w:ascii="仿宋" w:eastAsia="仿宋" w:hAnsi="仿宋"/>
          <w:sz w:val="32"/>
          <w:szCs w:val="32"/>
        </w:rPr>
        <w:t>；</w:t>
      </w:r>
      <w:r>
        <w:rPr>
          <w:rFonts w:ascii="仿宋" w:eastAsia="仿宋" w:hAnsi="仿宋" w:hint="eastAsia"/>
          <w:sz w:val="32"/>
          <w:szCs w:val="32"/>
        </w:rPr>
        <w:t>特发服务</w:t>
      </w:r>
      <w:r>
        <w:rPr>
          <w:rFonts w:ascii="仿宋" w:eastAsia="仿宋" w:hAnsi="仿宋"/>
          <w:sz w:val="32"/>
          <w:szCs w:val="32"/>
        </w:rPr>
        <w:t>定位</w:t>
      </w:r>
      <w:r>
        <w:rPr>
          <w:rFonts w:ascii="仿宋" w:eastAsia="仿宋" w:hAnsi="仿宋" w:hint="eastAsia"/>
          <w:sz w:val="32"/>
          <w:szCs w:val="32"/>
        </w:rPr>
        <w:t>高端服务业消费升级</w:t>
      </w:r>
      <w:r>
        <w:rPr>
          <w:rFonts w:ascii="仿宋" w:eastAsia="仿宋" w:hAnsi="仿宋"/>
          <w:sz w:val="32"/>
          <w:szCs w:val="32"/>
        </w:rPr>
        <w:t>；特发地产定位</w:t>
      </w:r>
      <w:r>
        <w:rPr>
          <w:rFonts w:ascii="仿宋" w:eastAsia="仿宋" w:hAnsi="仿宋" w:hint="eastAsia"/>
          <w:sz w:val="32"/>
          <w:szCs w:val="32"/>
        </w:rPr>
        <w:t>城市更新消费升级</w:t>
      </w:r>
      <w:r>
        <w:rPr>
          <w:rFonts w:ascii="仿宋" w:eastAsia="仿宋" w:hAnsi="仿宋"/>
          <w:sz w:val="32"/>
          <w:szCs w:val="32"/>
        </w:rPr>
        <w:t>。整体</w:t>
      </w:r>
      <w:r>
        <w:rPr>
          <w:rFonts w:ascii="仿宋" w:eastAsia="仿宋" w:hAnsi="仿宋" w:hint="eastAsia"/>
          <w:sz w:val="32"/>
          <w:szCs w:val="32"/>
        </w:rPr>
        <w:t>实现资源</w:t>
      </w:r>
      <w:r>
        <w:rPr>
          <w:rFonts w:ascii="仿宋" w:eastAsia="仿宋" w:hAnsi="仿宋"/>
          <w:sz w:val="32"/>
          <w:szCs w:val="32"/>
        </w:rPr>
        <w:t>IP化和IP生态化。</w:t>
      </w:r>
    </w:p>
    <w:p w:rsidR="006A17B5" w:rsidRDefault="00BB1C78" w:rsidP="00945165">
      <w:pPr>
        <w:spacing w:line="560" w:lineRule="exact"/>
        <w:ind w:firstLine="640"/>
        <w:jc w:val="both"/>
        <w:rPr>
          <w:rFonts w:ascii="仿宋" w:eastAsia="仿宋" w:hAnsi="仿宋"/>
          <w:sz w:val="32"/>
          <w:szCs w:val="32"/>
        </w:rPr>
      </w:pPr>
      <w:r>
        <w:rPr>
          <w:rFonts w:ascii="仿宋" w:eastAsia="仿宋" w:hAnsi="仿宋" w:hint="eastAsia"/>
          <w:sz w:val="32"/>
          <w:szCs w:val="32"/>
        </w:rPr>
        <w:t>“战略性新兴产业发展骨干企业”：定位为湾区信息科技产业国产化平台运营商，涵盖特发信息、麦捷科技、长龙公司、智胜等二级企业，聚焦湾区信息科技产业升级，打造湾区信息科技产业国产化平台，构建基于产业运营的战略体系。其中特发信息</w:t>
      </w:r>
      <w:r>
        <w:rPr>
          <w:rFonts w:ascii="仿宋" w:eastAsia="仿宋" w:hAnsi="仿宋"/>
          <w:sz w:val="32"/>
          <w:szCs w:val="32"/>
        </w:rPr>
        <w:t>定位新基建与</w:t>
      </w:r>
      <w:r>
        <w:rPr>
          <w:rFonts w:ascii="仿宋" w:eastAsia="仿宋" w:hAnsi="仿宋" w:hint="eastAsia"/>
          <w:sz w:val="32"/>
          <w:szCs w:val="32"/>
        </w:rPr>
        <w:t>高技术融合</w:t>
      </w:r>
      <w:r>
        <w:rPr>
          <w:rFonts w:ascii="仿宋" w:eastAsia="仿宋" w:hAnsi="仿宋"/>
          <w:sz w:val="32"/>
          <w:szCs w:val="32"/>
        </w:rPr>
        <w:t>平台</w:t>
      </w:r>
      <w:r>
        <w:rPr>
          <w:rFonts w:ascii="仿宋" w:eastAsia="仿宋" w:hAnsi="仿宋" w:hint="eastAsia"/>
          <w:sz w:val="32"/>
          <w:szCs w:val="32"/>
        </w:rPr>
        <w:t>，麦捷科技</w:t>
      </w:r>
      <w:r>
        <w:rPr>
          <w:rFonts w:ascii="仿宋" w:eastAsia="仿宋" w:hAnsi="仿宋"/>
          <w:sz w:val="32"/>
          <w:szCs w:val="32"/>
        </w:rPr>
        <w:t>定位</w:t>
      </w:r>
      <w:r>
        <w:rPr>
          <w:rFonts w:ascii="仿宋" w:eastAsia="仿宋" w:hAnsi="仿宋" w:hint="eastAsia"/>
          <w:sz w:val="32"/>
          <w:szCs w:val="32"/>
        </w:rPr>
        <w:t>通信射频国产化平台</w:t>
      </w:r>
      <w:r>
        <w:rPr>
          <w:rFonts w:ascii="仿宋" w:eastAsia="仿宋" w:hAnsi="仿宋"/>
          <w:sz w:val="32"/>
          <w:szCs w:val="32"/>
        </w:rPr>
        <w:t>。整体</w:t>
      </w:r>
      <w:r>
        <w:rPr>
          <w:rFonts w:ascii="仿宋" w:eastAsia="仿宋" w:hAnsi="仿宋" w:hint="eastAsia"/>
          <w:sz w:val="32"/>
          <w:szCs w:val="32"/>
        </w:rPr>
        <w:t>实现国产湾区化，湾区龙头化。</w:t>
      </w:r>
    </w:p>
    <w:p w:rsidR="00945165" w:rsidRDefault="00945165" w:rsidP="00945165">
      <w:pPr>
        <w:pStyle w:val="2"/>
        <w:keepNext w:val="0"/>
        <w:keepLines w:val="0"/>
        <w:numPr>
          <w:ilvl w:val="255"/>
          <w:numId w:val="0"/>
        </w:numPr>
        <w:spacing w:line="520" w:lineRule="exact"/>
        <w:ind w:firstLineChars="200" w:firstLine="561"/>
        <w:jc w:val="both"/>
        <w:rPr>
          <w:rFonts w:ascii="楷体" w:eastAsia="楷体" w:hAnsi="楷体" w:cs="楷体"/>
          <w:sz w:val="32"/>
        </w:rPr>
      </w:pPr>
      <w:r>
        <w:rPr>
          <w:rFonts w:hint="eastAsia"/>
        </w:rPr>
        <w:t>三、</w:t>
      </w:r>
      <w:bookmarkStart w:id="25" w:name="_Toc7577"/>
      <w:bookmarkStart w:id="26" w:name="_Toc61603918"/>
      <w:bookmarkStart w:id="27" w:name="_Toc30080"/>
      <w:r>
        <w:rPr>
          <w:rFonts w:ascii="楷体" w:eastAsia="楷体" w:hAnsi="楷体" w:cs="楷体" w:hint="eastAsia"/>
          <w:sz w:val="32"/>
        </w:rPr>
        <w:t>集团战略目标及分解</w:t>
      </w:r>
      <w:bookmarkEnd w:id="25"/>
      <w:bookmarkEnd w:id="26"/>
      <w:bookmarkEnd w:id="27"/>
    </w:p>
    <w:p w:rsidR="00945165" w:rsidRDefault="00003594" w:rsidP="00945165">
      <w:pPr>
        <w:spacing w:line="560" w:lineRule="exact"/>
        <w:ind w:firstLine="643"/>
        <w:jc w:val="both"/>
        <w:rPr>
          <w:rFonts w:ascii="仿宋" w:eastAsia="仿宋" w:hAnsi="仿宋" w:cs="仿宋"/>
          <w:b/>
          <w:sz w:val="32"/>
          <w:szCs w:val="32"/>
        </w:rPr>
      </w:pPr>
      <w:r>
        <w:rPr>
          <w:rFonts w:ascii="仿宋" w:eastAsia="仿宋" w:hAnsi="仿宋" w:cs="仿宋" w:hint="eastAsia"/>
          <w:b/>
          <w:sz w:val="32"/>
          <w:szCs w:val="32"/>
        </w:rPr>
        <w:t>（一）</w:t>
      </w:r>
      <w:r w:rsidR="00945165">
        <w:rPr>
          <w:rFonts w:ascii="仿宋" w:eastAsia="仿宋" w:hAnsi="仿宋" w:cs="仿宋" w:hint="eastAsia"/>
          <w:b/>
          <w:sz w:val="32"/>
          <w:szCs w:val="32"/>
        </w:rPr>
        <w:t>成为“双千亿”产业集团：</w:t>
      </w:r>
      <w:r w:rsidR="00945165">
        <w:rPr>
          <w:rFonts w:ascii="仿宋" w:eastAsia="仿宋" w:hAnsi="仿宋" w:hint="eastAsia"/>
          <w:sz w:val="32"/>
          <w:szCs w:val="32"/>
        </w:rPr>
        <w:t>截至2025年，集团总资产规模达到1000亿元。“十四五”期间集团收入累计达到1000亿元，且为股东创造良好资本回报（ROE）。</w:t>
      </w:r>
    </w:p>
    <w:p w:rsidR="00945165" w:rsidRDefault="00003594" w:rsidP="00945165">
      <w:pPr>
        <w:spacing w:line="520" w:lineRule="exact"/>
        <w:ind w:firstLine="643"/>
        <w:jc w:val="both"/>
        <w:outlineLvl w:val="2"/>
        <w:rPr>
          <w:rFonts w:ascii="仿宋" w:eastAsia="仿宋" w:hAnsi="仿宋" w:cs="仿宋"/>
          <w:b/>
          <w:sz w:val="32"/>
          <w:szCs w:val="32"/>
        </w:rPr>
      </w:pPr>
      <w:bookmarkStart w:id="28" w:name="_Toc29376"/>
      <w:bookmarkStart w:id="29" w:name="_Toc29138"/>
      <w:bookmarkStart w:id="30" w:name="_Toc932"/>
      <w:bookmarkStart w:id="31" w:name="_Toc25205"/>
      <w:r>
        <w:rPr>
          <w:rFonts w:ascii="仿宋" w:eastAsia="仿宋" w:hAnsi="仿宋" w:cs="仿宋" w:hint="eastAsia"/>
          <w:b/>
          <w:sz w:val="32"/>
          <w:szCs w:val="32"/>
        </w:rPr>
        <w:t>（二）</w:t>
      </w:r>
      <w:r w:rsidR="00945165">
        <w:rPr>
          <w:rFonts w:ascii="仿宋" w:eastAsia="仿宋" w:hAnsi="仿宋" w:cs="仿宋" w:hint="eastAsia"/>
          <w:b/>
          <w:sz w:val="32"/>
          <w:szCs w:val="32"/>
        </w:rPr>
        <w:t>战略性新兴产业发展及城市空间升级核心骨干</w:t>
      </w:r>
      <w:bookmarkEnd w:id="28"/>
      <w:bookmarkEnd w:id="29"/>
      <w:bookmarkEnd w:id="30"/>
      <w:bookmarkEnd w:id="31"/>
    </w:p>
    <w:p w:rsidR="00945165" w:rsidRDefault="00945165" w:rsidP="00945165">
      <w:pPr>
        <w:spacing w:line="520" w:lineRule="exact"/>
        <w:ind w:firstLineChars="0" w:firstLine="560"/>
        <w:jc w:val="both"/>
        <w:rPr>
          <w:rFonts w:ascii="仿宋" w:eastAsia="仿宋" w:hAnsi="仿宋"/>
          <w:sz w:val="32"/>
          <w:szCs w:val="32"/>
        </w:rPr>
      </w:pPr>
      <w:r>
        <w:rPr>
          <w:rFonts w:hint="eastAsia"/>
          <w:sz w:val="32"/>
          <w:szCs w:val="32"/>
        </w:rPr>
        <w:t xml:space="preserve"> </w:t>
      </w:r>
      <w:r>
        <w:rPr>
          <w:rFonts w:ascii="仿宋" w:eastAsia="仿宋" w:hAnsi="仿宋" w:hint="eastAsia"/>
          <w:sz w:val="32"/>
          <w:szCs w:val="32"/>
        </w:rPr>
        <w:t>“十四五”期间以两条主线进行产业发展与布局。一方面保持并持续扩大以新一代信息技术为主线的战略性新兴板块投入与布局。成为</w:t>
      </w:r>
      <w:proofErr w:type="gramStart"/>
      <w:r>
        <w:rPr>
          <w:rFonts w:ascii="仿宋" w:eastAsia="仿宋" w:hAnsi="仿宋" w:hint="eastAsia"/>
          <w:sz w:val="32"/>
          <w:szCs w:val="32"/>
        </w:rPr>
        <w:t>市属国</w:t>
      </w:r>
      <w:proofErr w:type="gramEnd"/>
      <w:r>
        <w:rPr>
          <w:rFonts w:ascii="仿宋" w:eastAsia="仿宋" w:hAnsi="仿宋" w:hint="eastAsia"/>
          <w:sz w:val="32"/>
          <w:szCs w:val="32"/>
        </w:rPr>
        <w:t>资体系的“</w:t>
      </w:r>
      <w:bookmarkStart w:id="32" w:name="_GoBack"/>
      <w:bookmarkEnd w:id="32"/>
      <w:r>
        <w:rPr>
          <w:rFonts w:ascii="仿宋" w:eastAsia="仿宋" w:hAnsi="仿宋" w:hint="eastAsia"/>
          <w:sz w:val="32"/>
          <w:szCs w:val="32"/>
        </w:rPr>
        <w:t>战略性新兴产业骨干”。另一方面，积极利用好香蜜湖、小梅沙两个深圳市旗帜型项目，结合城市更新单元的</w:t>
      </w:r>
      <w:proofErr w:type="gramStart"/>
      <w:r>
        <w:rPr>
          <w:rFonts w:ascii="仿宋" w:eastAsia="仿宋" w:hAnsi="仿宋" w:hint="eastAsia"/>
          <w:sz w:val="32"/>
          <w:szCs w:val="32"/>
        </w:rPr>
        <w:t>不</w:t>
      </w:r>
      <w:proofErr w:type="gramEnd"/>
      <w:r>
        <w:rPr>
          <w:rFonts w:ascii="仿宋" w:eastAsia="仿宋" w:hAnsi="仿宋" w:hint="eastAsia"/>
          <w:sz w:val="32"/>
          <w:szCs w:val="32"/>
        </w:rPr>
        <w:t>同业态运营，统筹形成深圳本土强势品牌。并把品牌转化成优质流量，以及实现品牌输出。</w:t>
      </w:r>
    </w:p>
    <w:p w:rsidR="00945165" w:rsidRDefault="00003594" w:rsidP="00945165">
      <w:pPr>
        <w:spacing w:line="520" w:lineRule="exact"/>
        <w:ind w:firstLine="643"/>
        <w:jc w:val="both"/>
        <w:outlineLvl w:val="2"/>
        <w:rPr>
          <w:rFonts w:ascii="仿宋" w:eastAsia="仿宋" w:hAnsi="仿宋" w:cs="仿宋"/>
          <w:b/>
          <w:sz w:val="32"/>
          <w:szCs w:val="32"/>
        </w:rPr>
      </w:pPr>
      <w:bookmarkStart w:id="33" w:name="_Toc19208"/>
      <w:bookmarkStart w:id="34" w:name="_Toc18760"/>
      <w:bookmarkStart w:id="35" w:name="_Toc28798"/>
      <w:bookmarkStart w:id="36" w:name="_Toc17339"/>
      <w:r>
        <w:rPr>
          <w:rFonts w:ascii="仿宋" w:eastAsia="仿宋" w:hAnsi="仿宋" w:cs="仿宋" w:hint="eastAsia"/>
          <w:b/>
          <w:sz w:val="32"/>
          <w:szCs w:val="32"/>
        </w:rPr>
        <w:t>（三）</w:t>
      </w:r>
      <w:r w:rsidR="00945165">
        <w:rPr>
          <w:rFonts w:ascii="仿宋" w:eastAsia="仿宋" w:hAnsi="仿宋" w:cs="仿宋" w:hint="eastAsia"/>
          <w:b/>
          <w:sz w:val="32"/>
          <w:szCs w:val="32"/>
        </w:rPr>
        <w:t>成为</w:t>
      </w:r>
      <w:proofErr w:type="gramStart"/>
      <w:r w:rsidR="00945165">
        <w:rPr>
          <w:rFonts w:ascii="仿宋" w:eastAsia="仿宋" w:hAnsi="仿宋" w:cs="仿宋" w:hint="eastAsia"/>
          <w:b/>
          <w:sz w:val="32"/>
          <w:szCs w:val="32"/>
        </w:rPr>
        <w:t>市属国</w:t>
      </w:r>
      <w:proofErr w:type="gramEnd"/>
      <w:r w:rsidR="00945165">
        <w:rPr>
          <w:rFonts w:ascii="仿宋" w:eastAsia="仿宋" w:hAnsi="仿宋" w:cs="仿宋" w:hint="eastAsia"/>
          <w:b/>
          <w:sz w:val="32"/>
          <w:szCs w:val="32"/>
        </w:rPr>
        <w:t>资体系</w:t>
      </w:r>
      <w:proofErr w:type="gramStart"/>
      <w:r w:rsidR="00945165">
        <w:rPr>
          <w:rFonts w:ascii="仿宋" w:eastAsia="仿宋" w:hAnsi="仿宋" w:cs="仿宋" w:hint="eastAsia"/>
          <w:b/>
          <w:sz w:val="32"/>
          <w:szCs w:val="32"/>
        </w:rPr>
        <w:t>内现代</w:t>
      </w:r>
      <w:proofErr w:type="gramEnd"/>
      <w:r w:rsidR="00945165">
        <w:rPr>
          <w:rFonts w:ascii="仿宋" w:eastAsia="仿宋" w:hAnsi="仿宋" w:cs="仿宋" w:hint="eastAsia"/>
          <w:b/>
          <w:sz w:val="32"/>
          <w:szCs w:val="32"/>
        </w:rPr>
        <w:t>企业制度建设标杆</w:t>
      </w:r>
      <w:bookmarkEnd w:id="33"/>
      <w:bookmarkEnd w:id="34"/>
      <w:bookmarkEnd w:id="35"/>
      <w:bookmarkEnd w:id="36"/>
    </w:p>
    <w:p w:rsidR="00945165" w:rsidRPr="00945165" w:rsidRDefault="00945165" w:rsidP="008B20BF">
      <w:pPr>
        <w:spacing w:line="520" w:lineRule="exact"/>
        <w:ind w:firstLine="640"/>
        <w:jc w:val="both"/>
        <w:rPr>
          <w:rFonts w:ascii="仿宋" w:eastAsia="仿宋" w:hAnsi="仿宋"/>
          <w:sz w:val="32"/>
          <w:szCs w:val="32"/>
        </w:rPr>
      </w:pPr>
      <w:r>
        <w:rPr>
          <w:rFonts w:ascii="仿宋" w:eastAsia="仿宋" w:hAnsi="仿宋" w:hint="eastAsia"/>
          <w:sz w:val="32"/>
          <w:szCs w:val="32"/>
        </w:rPr>
        <w:t>“十四五”期间，以专业化为导向，成为市属国资体系内现代企业制度建设标杆。</w:t>
      </w:r>
    </w:p>
    <w:p w:rsidR="006A17B5" w:rsidRDefault="006A17B5" w:rsidP="00945165">
      <w:pPr>
        <w:spacing w:line="560" w:lineRule="exact"/>
        <w:ind w:firstLine="560"/>
      </w:pPr>
    </w:p>
    <w:sectPr w:rsidR="006A17B5" w:rsidSect="00945165">
      <w:headerReference w:type="even" r:id="rId11"/>
      <w:headerReference w:type="default" r:id="rId12"/>
      <w:footerReference w:type="even" r:id="rId13"/>
      <w:footerReference w:type="default" r:id="rId14"/>
      <w:headerReference w:type="first" r:id="rId15"/>
      <w:footerReference w:type="first" r:id="rId16"/>
      <w:pgSz w:w="11906" w:h="16838"/>
      <w:pgMar w:top="993" w:right="1800" w:bottom="851" w:left="1800" w:header="680" w:footer="737"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927" w:rsidRDefault="00131927">
      <w:pPr>
        <w:ind w:firstLine="560"/>
      </w:pPr>
      <w:r>
        <w:separator/>
      </w:r>
    </w:p>
  </w:endnote>
  <w:endnote w:type="continuationSeparator" w:id="0">
    <w:p w:rsidR="00131927" w:rsidRDefault="00131927">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65" w:rsidRDefault="00945165" w:rsidP="00945165">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65" w:rsidRPr="00945165" w:rsidRDefault="00945165" w:rsidP="00945165">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65" w:rsidRDefault="00945165" w:rsidP="00945165">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927" w:rsidRDefault="00131927">
      <w:pPr>
        <w:ind w:firstLine="560"/>
      </w:pPr>
      <w:r>
        <w:separator/>
      </w:r>
    </w:p>
  </w:footnote>
  <w:footnote w:type="continuationSeparator" w:id="0">
    <w:p w:rsidR="00131927" w:rsidRDefault="00131927">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65" w:rsidRDefault="00945165" w:rsidP="00945165">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65" w:rsidRDefault="00945165" w:rsidP="00945165">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165" w:rsidRDefault="00945165" w:rsidP="00945165">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13762"/>
    <w:multiLevelType w:val="multilevel"/>
    <w:tmpl w:val="69713762"/>
    <w:lvl w:ilvl="0">
      <w:start w:val="1"/>
      <w:numFmt w:val="chineseCounting"/>
      <w:suff w:val="nothing"/>
      <w:lvlText w:val="%1、"/>
      <w:lvlJc w:val="left"/>
      <w:pPr>
        <w:ind w:left="0" w:firstLine="0"/>
      </w:pPr>
      <w:rPr>
        <w:rFonts w:ascii="黑体" w:eastAsia="黑体" w:hAnsi="黑体" w:cs="黑体" w:hint="eastAsia"/>
        <w:b w:val="0"/>
        <w:bCs w:val="0"/>
        <w:sz w:val="32"/>
        <w:szCs w:val="32"/>
      </w:rPr>
    </w:lvl>
    <w:lvl w:ilvl="1">
      <w:start w:val="1"/>
      <w:numFmt w:val="chineseCounting"/>
      <w:pStyle w:val="2"/>
      <w:suff w:val="nothing"/>
      <w:lvlText w:val="（%2）"/>
      <w:lvlJc w:val="left"/>
      <w:pPr>
        <w:ind w:left="342" w:firstLine="225"/>
      </w:pPr>
      <w:rPr>
        <w:rFonts w:hint="eastAsia"/>
      </w:rPr>
    </w:lvl>
    <w:lvl w:ilvl="2">
      <w:start w:val="1"/>
      <w:numFmt w:val="decimal"/>
      <w:suff w:val="nothing"/>
      <w:lvlText w:val="%3．"/>
      <w:lvlJc w:val="left"/>
      <w:pPr>
        <w:ind w:left="450" w:firstLine="400"/>
      </w:pPr>
      <w:rPr>
        <w:rFonts w:ascii="仿宋" w:eastAsia="仿宋" w:hAnsi="仿宋" w:cs="Times New Roman"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23"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35386C"/>
    <w:rsid w:val="00003594"/>
    <w:rsid w:val="00131927"/>
    <w:rsid w:val="006A17B5"/>
    <w:rsid w:val="008B20BF"/>
    <w:rsid w:val="00945165"/>
    <w:rsid w:val="00BB1C78"/>
    <w:rsid w:val="00CD0565"/>
    <w:rsid w:val="7F353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ind w:firstLineChars="200" w:firstLine="1041"/>
    </w:pPr>
    <w:rPr>
      <w:rFonts w:ascii="等线" w:eastAsia="华文仿宋" w:hAnsi="等线" w:cs="Times New Roman"/>
      <w:kern w:val="2"/>
      <w:sz w:val="28"/>
      <w:szCs w:val="22"/>
    </w:rPr>
  </w:style>
  <w:style w:type="paragraph" w:styleId="2">
    <w:name w:val="heading 2"/>
    <w:basedOn w:val="a"/>
    <w:next w:val="a"/>
    <w:uiPriority w:val="9"/>
    <w:qFormat/>
    <w:pPr>
      <w:keepNext/>
      <w:keepLines/>
      <w:numPr>
        <w:ilvl w:val="1"/>
        <w:numId w:val="1"/>
      </w:numPr>
      <w:spacing w:line="416" w:lineRule="auto"/>
      <w:outlineLvl w:val="1"/>
    </w:pPr>
    <w:rPr>
      <w:rFonts w:ascii="等线 Light" w:hAnsi="等线 Light"/>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945165"/>
    <w:rPr>
      <w:sz w:val="18"/>
      <w:szCs w:val="18"/>
    </w:rPr>
  </w:style>
  <w:style w:type="character" w:customStyle="1" w:styleId="Char">
    <w:name w:val="批注框文本 Char"/>
    <w:basedOn w:val="a0"/>
    <w:link w:val="a3"/>
    <w:rsid w:val="00945165"/>
    <w:rPr>
      <w:rFonts w:ascii="等线" w:eastAsia="华文仿宋" w:hAnsi="等线" w:cs="Times New Roman"/>
      <w:kern w:val="2"/>
      <w:sz w:val="18"/>
      <w:szCs w:val="18"/>
    </w:rPr>
  </w:style>
  <w:style w:type="paragraph" w:styleId="a4">
    <w:name w:val="header"/>
    <w:basedOn w:val="a"/>
    <w:link w:val="Char0"/>
    <w:rsid w:val="009451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945165"/>
    <w:rPr>
      <w:rFonts w:ascii="等线" w:eastAsia="华文仿宋" w:hAnsi="等线" w:cs="Times New Roman"/>
      <w:kern w:val="2"/>
      <w:sz w:val="18"/>
      <w:szCs w:val="18"/>
    </w:rPr>
  </w:style>
  <w:style w:type="paragraph" w:styleId="a5">
    <w:name w:val="footer"/>
    <w:basedOn w:val="a"/>
    <w:link w:val="Char1"/>
    <w:rsid w:val="00945165"/>
    <w:pPr>
      <w:tabs>
        <w:tab w:val="center" w:pos="4153"/>
        <w:tab w:val="right" w:pos="8306"/>
      </w:tabs>
      <w:snapToGrid w:val="0"/>
    </w:pPr>
    <w:rPr>
      <w:sz w:val="18"/>
      <w:szCs w:val="18"/>
    </w:rPr>
  </w:style>
  <w:style w:type="character" w:customStyle="1" w:styleId="Char1">
    <w:name w:val="页脚 Char"/>
    <w:basedOn w:val="a0"/>
    <w:link w:val="a5"/>
    <w:rsid w:val="00945165"/>
    <w:rPr>
      <w:rFonts w:ascii="等线" w:eastAsia="华文仿宋" w:hAnsi="等线" w:cs="Times New Roman"/>
      <w:kern w:val="2"/>
      <w:sz w:val="18"/>
      <w:szCs w:val="18"/>
    </w:rPr>
  </w:style>
  <w:style w:type="paragraph" w:styleId="a6">
    <w:name w:val="List Paragraph"/>
    <w:basedOn w:val="a"/>
    <w:uiPriority w:val="34"/>
    <w:qFormat/>
    <w:rsid w:val="00945165"/>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ind w:firstLineChars="200" w:firstLine="1041"/>
    </w:pPr>
    <w:rPr>
      <w:rFonts w:ascii="等线" w:eastAsia="华文仿宋" w:hAnsi="等线" w:cs="Times New Roman"/>
      <w:kern w:val="2"/>
      <w:sz w:val="28"/>
      <w:szCs w:val="22"/>
    </w:rPr>
  </w:style>
  <w:style w:type="paragraph" w:styleId="2">
    <w:name w:val="heading 2"/>
    <w:basedOn w:val="a"/>
    <w:next w:val="a"/>
    <w:uiPriority w:val="9"/>
    <w:qFormat/>
    <w:pPr>
      <w:keepNext/>
      <w:keepLines/>
      <w:numPr>
        <w:ilvl w:val="1"/>
        <w:numId w:val="1"/>
      </w:numPr>
      <w:spacing w:line="416" w:lineRule="auto"/>
      <w:outlineLvl w:val="1"/>
    </w:pPr>
    <w:rPr>
      <w:rFonts w:ascii="等线 Light" w:hAnsi="等线 Light"/>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945165"/>
    <w:rPr>
      <w:sz w:val="18"/>
      <w:szCs w:val="18"/>
    </w:rPr>
  </w:style>
  <w:style w:type="character" w:customStyle="1" w:styleId="Char">
    <w:name w:val="批注框文本 Char"/>
    <w:basedOn w:val="a0"/>
    <w:link w:val="a3"/>
    <w:rsid w:val="00945165"/>
    <w:rPr>
      <w:rFonts w:ascii="等线" w:eastAsia="华文仿宋" w:hAnsi="等线" w:cs="Times New Roman"/>
      <w:kern w:val="2"/>
      <w:sz w:val="18"/>
      <w:szCs w:val="18"/>
    </w:rPr>
  </w:style>
  <w:style w:type="paragraph" w:styleId="a4">
    <w:name w:val="header"/>
    <w:basedOn w:val="a"/>
    <w:link w:val="Char0"/>
    <w:rsid w:val="0094516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945165"/>
    <w:rPr>
      <w:rFonts w:ascii="等线" w:eastAsia="华文仿宋" w:hAnsi="等线" w:cs="Times New Roman"/>
      <w:kern w:val="2"/>
      <w:sz w:val="18"/>
      <w:szCs w:val="18"/>
    </w:rPr>
  </w:style>
  <w:style w:type="paragraph" w:styleId="a5">
    <w:name w:val="footer"/>
    <w:basedOn w:val="a"/>
    <w:link w:val="Char1"/>
    <w:rsid w:val="00945165"/>
    <w:pPr>
      <w:tabs>
        <w:tab w:val="center" w:pos="4153"/>
        <w:tab w:val="right" w:pos="8306"/>
      </w:tabs>
      <w:snapToGrid w:val="0"/>
    </w:pPr>
    <w:rPr>
      <w:sz w:val="18"/>
      <w:szCs w:val="18"/>
    </w:rPr>
  </w:style>
  <w:style w:type="character" w:customStyle="1" w:styleId="Char1">
    <w:name w:val="页脚 Char"/>
    <w:basedOn w:val="a0"/>
    <w:link w:val="a5"/>
    <w:rsid w:val="00945165"/>
    <w:rPr>
      <w:rFonts w:ascii="等线" w:eastAsia="华文仿宋" w:hAnsi="等线" w:cs="Times New Roman"/>
      <w:kern w:val="2"/>
      <w:sz w:val="18"/>
      <w:szCs w:val="18"/>
    </w:rPr>
  </w:style>
  <w:style w:type="paragraph" w:styleId="a6">
    <w:name w:val="List Paragraph"/>
    <w:basedOn w:val="a"/>
    <w:uiPriority w:val="34"/>
    <w:qFormat/>
    <w:rsid w:val="00945165"/>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E71E8-9CB7-4886-8439-7AA723551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Batu</dc:creator>
  <cp:lastModifiedBy>周玲</cp:lastModifiedBy>
  <cp:revision>4</cp:revision>
  <dcterms:created xsi:type="dcterms:W3CDTF">2021-12-09T02:12:00Z</dcterms:created>
  <dcterms:modified xsi:type="dcterms:W3CDTF">2021-12-14T01:43:00Z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FCAC87A125304DE1B08C2119A9EB5F4B</vt:lpwstr>
  </property>
</Properties>
</file>